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comments.xml" ContentType="application/vnd.openxmlformats-officedocument.wordprocessingml.comments+xml"/>
  <Override PartName="/word/footnotes.xml" ContentType="application/vnd.openxmlformats-officedocument.wordprocessingml.footnotes+xml"/>
  <Override PartName="/word/media/rId34.png" ContentType="image/png"/>
  <Override PartName="/word/media/rId30.png" ContentType="image/png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 /><Relationship Id="rId4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5" Type="http://schemas.openxmlformats.org/officeDocument/2006/relationships/custom-properties" Target="docProps/custom.xml" /></Relationships>
</file>

<file path=word/document.xml><?xml version="1.0" encoding="utf-8"?>
<w:document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body>
    <w:p>
      <w:pPr>
        <w:pStyle w:val="Heading1"/>
      </w:pPr>
      <w:bookmarkStart w:id="20" w:name="jwt-handbook-synthesis"/>
      <w:r>
        <w:t xml:space="preserve">JWT Handbook Synthesis</w:t>
      </w:r>
      <w:bookmarkEnd w:id="20"/>
    </w:p>
    <w:p>
      <w:pPr>
        <w:pStyle w:val="Heading2"/>
      </w:pPr>
      <w:bookmarkStart w:id="21" w:name="intro"/>
      <w:r>
        <w:t xml:space="preserve">Intro</w:t>
      </w:r>
      <w:bookmarkEnd w:id="21"/>
    </w:p>
    <w:p>
      <w:pPr>
        <w:pStyle w:val="FirstParagraph"/>
      </w:pPr>
      <w:r>
        <w:t xml:space="preserve">JWT = JWS (JSON Web Signatures) + JWE (JSON Web Encryption)</w:t>
      </w:r>
    </w:p>
    <w:p>
      <w:pPr>
        <w:pStyle w:val="Heading3"/>
      </w:pPr>
      <w:bookmarkStart w:id="22" w:name="claims"/>
      <w:r>
        <w:t xml:space="preserve">Claims</w:t>
      </w:r>
      <w:bookmarkEnd w:id="22"/>
    </w:p>
    <w:p>
      <w:pPr>
        <w:pStyle w:val="FirstParagraph"/>
      </w:pPr>
      <w:r>
        <w:t xml:space="preserve">Definitions / Assertions about a party or object. Some part of the specs, some user defined.</w:t>
      </w:r>
      <w:r>
        <w:t xml:space="preserve"> </w:t>
      </w:r>
      <w:r>
        <w:t xml:space="preserve">JWT Standardizes commonly used claims (i.e. establishing identity).</w:t>
      </w:r>
    </w:p>
    <w:p>
      <w:pPr>
        <w:pStyle w:val="Heading3"/>
      </w:pPr>
      <w:bookmarkStart w:id="23" w:name="purpose"/>
      <w:r>
        <w:t xml:space="preserve">Purpose</w:t>
      </w:r>
      <w:bookmarkEnd w:id="23"/>
    </w:p>
    <w:p>
      <w:pPr>
        <w:pStyle w:val="FirstParagraph"/>
      </w:pPr>
      <w:r>
        <w:t xml:space="preserve">Transfer claims between two parties in a standardized, simple way. Common usage :</w:t>
      </w:r>
      <w:r>
        <w:t xml:space="preserve"> </w:t>
      </w:r>
      <w:r>
        <w:t xml:space="preserve">* Authentication</w:t>
      </w:r>
      <w:r>
        <w:t xml:space="preserve"> </w:t>
      </w:r>
      <w:r>
        <w:t xml:space="preserve">* Authorization</w:t>
      </w:r>
      <w:r>
        <w:t xml:space="preserve"> </w:t>
      </w:r>
      <w:r>
        <w:t xml:space="preserve">* Federated Identity</w:t>
      </w:r>
      <w:r>
        <w:t xml:space="preserve"> </w:t>
      </w:r>
      <w:r>
        <w:t xml:space="preserve">* Client-side sessions (stateless sessions)</w:t>
      </w:r>
      <w:r>
        <w:t xml:space="preserve"> </w:t>
      </w:r>
      <w:r>
        <w:t xml:space="preserve">* Client-side secrets</w:t>
      </w:r>
    </w:p>
    <w:p>
      <w:pPr>
        <w:pStyle w:val="Heading2"/>
      </w:pPr>
      <w:bookmarkStart w:id="24" w:name="jwt-in-detail"/>
      <w:r>
        <w:t xml:space="preserve">JWT in Detail</w:t>
      </w:r>
      <w:bookmarkEnd w:id="24"/>
    </w:p>
    <w:p>
      <w:pPr>
        <w:pStyle w:val="FirstParagraph"/>
      </w:pPr>
      <w:r>
        <w:t xml:space="preserve">A JWT contains :</w:t>
      </w:r>
      <w:r>
        <w:t xml:space="preserve"> </w:t>
      </w:r>
      <w:r>
        <w:t xml:space="preserve">* Header (JSON object)</w:t>
      </w:r>
      <w:r>
        <w:t xml:space="preserve"> </w:t>
      </w:r>
      <w:r>
        <w:t xml:space="preserve">* Payload (JSON object)</w:t>
      </w:r>
      <w:r>
        <w:t xml:space="preserve"> </w:t>
      </w:r>
      <w:r>
        <w:t xml:space="preserve">* Signature/Encryption (dependant on signing/encryption algorithm)</w:t>
      </w:r>
      <w:r>
        <w:t xml:space="preserve"> </w:t>
      </w:r>
      <w:r>
        <w:t xml:space="preserve">Can be encoded in</w:t>
      </w:r>
      <w:r>
        <w:t xml:space="preserve"> </w:t>
      </w:r>
      <w:r>
        <w:rPr>
          <w:b/>
        </w:rPr>
        <w:t xml:space="preserve">compact representation</w:t>
      </w:r>
      <w:r>
        <w:t xml:space="preserve"> </w:t>
      </w:r>
      <w:r>
        <w:t xml:space="preserve">→ JWS/JWE</w:t>
      </w:r>
      <w:r>
        <w:t xml:space="preserve"> </w:t>
      </w:r>
      <w:r>
        <w:rPr>
          <w:b/>
        </w:rPr>
        <w:t xml:space="preserve">compact serialization</w:t>
      </w:r>
      <w:r>
        <w:t xml:space="preserve">. It is a Base64 URL-Safe encoding of the Header and Payload. The JWT is the concatenation of the the encoded Header, Payload and Signature, separated by a point. For instance :</w:t>
      </w:r>
    </w:p>
    <w:p>
      <w:pPr>
        <w:pStyle w:val="SourceCode"/>
      </w:pPr>
      <w:r>
        <w:rPr>
          <w:rStyle w:val="VerbatimChar"/>
        </w:rPr>
        <w:t xml:space="preserve">eyJhbGciOiJIUzI1NiIsInR5cCI6IkpXVCJ9.eyJzdWIiOiIxMjM0NTY3ODkwIiwibmFtZSI6IkpvaG4gRG9lIiwiYWRtaW4iOnRydWV9.TJVA95OrM7E2cBab30RMHrHDcEfxjoYZgeFONFh7HgQ</w:t>
      </w:r>
    </w:p>
    <w:p>
      <w:pPr>
        <w:pStyle w:val="Heading3"/>
      </w:pPr>
      <w:bookmarkStart w:id="25" w:name="header"/>
      <w:r>
        <w:t xml:space="preserve">Header</w:t>
      </w:r>
      <w:bookmarkEnd w:id="25"/>
    </w:p>
    <w:p>
      <w:pPr>
        <w:pStyle w:val="FirstParagraph"/>
      </w:pPr>
      <w:r>
        <w:t xml:space="preserve">Contains claims about the JWT itself. Encrypted JWT Headers carry infos about the cryptographic algorithm.</w:t>
      </w:r>
      <w:r>
        <w:t xml:space="preserve"> </w:t>
      </w:r>
      <w:r>
        <w:t xml:space="preserve">Fields :</w:t>
      </w:r>
      <w:r>
        <w:t xml:space="preserve"> </w:t>
      </w:r>
      <w:r>
        <w:t xml:space="preserve">*</w:t>
      </w:r>
      <w:r>
        <w:t xml:space="preserve"> </w:t>
      </w:r>
      <w:r>
        <w:rPr>
          <w:rStyle w:val="VerbatimChar"/>
        </w:rPr>
        <w:t xml:space="preserve">alg</w:t>
      </w:r>
      <w:r>
        <w:t xml:space="preserve"> </w:t>
      </w:r>
      <w:r>
        <w:t xml:space="preserve">: the main algorithm used for signing and/or decrypting the JWT. (</w:t>
      </w:r>
      <w:r>
        <w:rPr>
          <w:rStyle w:val="VerbatimChar"/>
        </w:rPr>
        <w:t xml:space="preserve">none</w:t>
      </w:r>
      <w:r>
        <w:t xml:space="preserve"> </w:t>
      </w:r>
      <w:r>
        <w:t xml:space="preserve">for unencrypted JWT but still mandatory).</w:t>
      </w:r>
      <w:r>
        <w:t xml:space="preserve"> </w:t>
      </w:r>
      <w:r>
        <w:t xml:space="preserve">*</w:t>
      </w:r>
      <w:r>
        <w:t xml:space="preserve"> </w:t>
      </w:r>
      <w:r>
        <w:rPr>
          <w:rStyle w:val="VerbatimChar"/>
        </w:rPr>
        <w:t xml:space="preserve">type</w:t>
      </w:r>
      <w:r>
        <w:t xml:space="preserve"> </w:t>
      </w:r>
      <w:r>
        <w:t xml:space="preserve">: Media type of the JWT. Should be</w:t>
      </w:r>
      <w:r>
        <w:t xml:space="preserve"> </w:t>
      </w:r>
      <w:r>
        <w:rPr>
          <w:rStyle w:val="VerbatimChar"/>
        </w:rPr>
        <w:t xml:space="preserve">JWT</w:t>
      </w:r>
      <w:r>
        <w:t xml:space="preserve"> </w:t>
      </w:r>
      <w:r>
        <w:t xml:space="preserve">*</w:t>
      </w:r>
      <w:r>
        <w:t xml:space="preserve"> </w:t>
      </w:r>
      <w:r>
        <w:rPr>
          <w:rStyle w:val="VerbatimChar"/>
        </w:rPr>
        <w:t xml:space="preserve">cty</w:t>
      </w:r>
      <w:r>
        <w:t xml:space="preserve"> </w:t>
      </w:r>
      <w:r>
        <w:t xml:space="preserve">: Content type. Required for nesting JWTs. Must not be set otherwise.</w:t>
      </w:r>
    </w:p>
    <w:p>
      <w:pPr>
        <w:pStyle w:val="BodyText"/>
      </w:pPr>
      <w:r>
        <w:t xml:space="preserve">User defined claims can be added to the header. Rarely used.</w:t>
      </w:r>
    </w:p>
    <w:p>
      <w:pPr>
        <w:pStyle w:val="BodyText"/>
      </w:pPr>
      <w:r>
        <w:t xml:space="preserve">Exemple of header for an unencrypted JWT :</w:t>
      </w:r>
    </w:p>
    <w:p>
      <w:pPr>
        <w:pStyle w:val="SourceCode"/>
      </w:pPr>
      <w:r>
        <w:rPr>
          <w:rStyle w:val="FunctionTok"/>
        </w:rPr>
        <w:t xml:space="preserve">{</w:t>
      </w:r>
      <w:r>
        <w:rPr>
          <w:rStyle w:val="DataTypeTok"/>
        </w:rPr>
        <w:t xml:space="preserve">"alg"</w:t>
      </w:r>
      <w:r>
        <w:rPr>
          <w:rStyle w:val="FunctionTok"/>
        </w:rPr>
        <w:t xml:space="preserve">:</w:t>
      </w:r>
      <w:r>
        <w:rPr>
          <w:rStyle w:val="StringTok"/>
        </w:rPr>
        <w:t xml:space="preserve">"none"</w:t>
      </w:r>
      <w:r>
        <w:rPr>
          <w:rStyle w:val="FunctionTok"/>
        </w:rPr>
        <w:t xml:space="preserve">}</w:t>
      </w:r>
    </w:p>
    <w:p>
      <w:pPr>
        <w:pStyle w:val="FirstParagraph"/>
      </w:pPr>
      <w:r>
        <w:t xml:space="preserve">Encoded (in URL-safe Base64) to :</w:t>
      </w:r>
      <w:r>
        <w:t xml:space="preserve"> </w:t>
      </w:r>
      <w:r>
        <w:rPr>
          <w:rStyle w:val="VerbatimChar"/>
        </w:rPr>
        <w:t xml:space="preserve">eyJhbGciOiJub25lIn0</w:t>
      </w:r>
      <w:r>
        <w:t xml:space="preserve">.</w:t>
      </w:r>
    </w:p>
    <w:p>
      <w:pPr>
        <w:pStyle w:val="Heading3"/>
      </w:pPr>
      <w:bookmarkStart w:id="26" w:name="payload"/>
      <w:r>
        <w:t xml:space="preserve">Payload</w:t>
      </w:r>
      <w:bookmarkEnd w:id="26"/>
    </w:p>
    <w:p>
      <w:pPr>
        <w:pStyle w:val="FirstParagraph"/>
      </w:pPr>
      <w:r>
        <w:t xml:space="preserve">Where the user data is usually added. Certain claim from the spec may also be present. No claim are mandatory but certain have specific meaning. Such claims are</w:t>
      </w:r>
      <w:r>
        <w:t xml:space="preserve"> </w:t>
      </w:r>
      <w:r>
        <w:rPr>
          <w:b/>
        </w:rPr>
        <w:t xml:space="preserve">registered claims</w:t>
      </w:r>
      <w:r>
        <w:t xml:space="preserve">.</w:t>
      </w:r>
    </w:p>
    <w:p>
      <w:pPr>
        <w:pStyle w:val="Heading4"/>
      </w:pPr>
      <w:bookmarkStart w:id="27" w:name="registered-claims"/>
      <w:r>
        <w:t xml:space="preserve">Registered Claims</w:t>
      </w:r>
      <w:bookmarkEnd w:id="27"/>
    </w:p>
    <w:p>
      <w:pPr>
        <w:numPr>
          <w:ilvl w:val="0"/>
          <w:numId w:val="1001"/>
        </w:numPr>
        <w:pStyle w:val="Compact"/>
      </w:pPr>
      <w:r>
        <w:rPr>
          <w:rStyle w:val="VerbatimChar"/>
        </w:rPr>
        <w:t xml:space="preserve">iss</w:t>
      </w:r>
      <w:r>
        <w:t xml:space="preserve"> </w:t>
      </w:r>
      <w:r>
        <w:t xml:space="preserve">: issuer. String/URI to uniquely identifiy the party that issued the JWT.</w:t>
      </w:r>
    </w:p>
    <w:p>
      <w:pPr>
        <w:numPr>
          <w:ilvl w:val="0"/>
          <w:numId w:val="1001"/>
        </w:numPr>
        <w:pStyle w:val="Compact"/>
      </w:pPr>
      <w:r>
        <w:rPr>
          <w:rStyle w:val="VerbatimChar"/>
        </w:rPr>
        <w:t xml:space="preserve">sub</w:t>
      </w:r>
      <w:r>
        <w:t xml:space="preserve"> </w:t>
      </w:r>
      <w:r>
        <w:t xml:space="preserve">: subjet. String/URI to uniquely identify the party that the JWT carries infos about.</w:t>
      </w:r>
    </w:p>
    <w:p>
      <w:pPr>
        <w:numPr>
          <w:ilvl w:val="0"/>
          <w:numId w:val="1001"/>
        </w:numPr>
        <w:pStyle w:val="Compact"/>
      </w:pPr>
      <w:r>
        <w:rPr>
          <w:rStyle w:val="VerbatimChar"/>
        </w:rPr>
        <w:t xml:space="preserve">aud</w:t>
      </w:r>
      <w:r>
        <w:t xml:space="preserve"> </w:t>
      </w:r>
      <w:r>
        <w:t xml:space="preserve">: audience. String/URI/Array of sych to uniquely identify the recipients of this JWT. → When this claim is define, the party reading the data must find itself in the</w:t>
      </w:r>
      <w:r>
        <w:t xml:space="preserve"> </w:t>
      </w:r>
      <w:r>
        <w:rPr>
          <w:rStyle w:val="VerbatimChar"/>
        </w:rPr>
        <w:t xml:space="preserve">aud</w:t>
      </w:r>
      <w:r>
        <w:t xml:space="preserve"> </w:t>
      </w:r>
      <w:r>
        <w:t xml:space="preserve">claim or ignore the data.</w:t>
      </w:r>
    </w:p>
    <w:p>
      <w:pPr>
        <w:numPr>
          <w:ilvl w:val="0"/>
          <w:numId w:val="1001"/>
        </w:numPr>
        <w:pStyle w:val="Compact"/>
      </w:pPr>
      <w:r>
        <w:rPr>
          <w:rStyle w:val="VerbatimChar"/>
        </w:rPr>
        <w:t xml:space="preserve">exp</w:t>
      </w:r>
      <w:r>
        <w:t xml:space="preserve"> </w:t>
      </w:r>
      <w:r>
        <w:t xml:space="preserve">: expiration. A number representing a specific date and time in the POSIX timestamp format. Represents the moment from which this JWT is considered invalid.</w:t>
      </w:r>
    </w:p>
    <w:p>
      <w:pPr>
        <w:numPr>
          <w:ilvl w:val="0"/>
          <w:numId w:val="1001"/>
        </w:numPr>
        <w:pStyle w:val="Compact"/>
      </w:pPr>
      <w:r>
        <w:rPr>
          <w:rStyle w:val="VerbatimChar"/>
        </w:rPr>
        <w:t xml:space="preserve">nbf</w:t>
      </w:r>
      <w:r>
        <w:t xml:space="preserve"> </w:t>
      </w:r>
      <w:r>
        <w:t xml:space="preserve">: not before. Opposit of</w:t>
      </w:r>
      <w:r>
        <w:t xml:space="preserve"> </w:t>
      </w:r>
      <w:r>
        <w:rPr>
          <w:rStyle w:val="VerbatimChar"/>
        </w:rPr>
        <w:t xml:space="preserve">exp</w:t>
      </w:r>
      <w:r>
        <w:t xml:space="preserve"> </w:t>
      </w:r>
      <w:r>
        <w:t xml:space="preserve">claim. A number representing a specific date and time in the POSIX timestamp format. Represents the moment from which this JWT is considered valid.</w:t>
      </w:r>
    </w:p>
    <w:p>
      <w:pPr>
        <w:numPr>
          <w:ilvl w:val="0"/>
          <w:numId w:val="1001"/>
        </w:numPr>
        <w:pStyle w:val="Compact"/>
      </w:pPr>
      <w:r>
        <w:rPr>
          <w:rStyle w:val="VerbatimChar"/>
        </w:rPr>
        <w:t xml:space="preserve">iat</w:t>
      </w:r>
      <w:r>
        <w:t xml:space="preserve"> </w:t>
      </w:r>
      <w:r>
        <w:t xml:space="preserve">: issued at time. A number representing a specific date and time in the POSIX timestamp format. Represente the moment at which the JWT was issued.</w:t>
      </w:r>
    </w:p>
    <w:p>
      <w:pPr>
        <w:numPr>
          <w:ilvl w:val="0"/>
          <w:numId w:val="1001"/>
        </w:numPr>
        <w:pStyle w:val="Compact"/>
      </w:pPr>
      <w:r>
        <w:rPr>
          <w:rStyle w:val="VerbatimChar"/>
        </w:rPr>
        <w:t xml:space="preserve">jti</w:t>
      </w:r>
      <w:r>
        <w:t xml:space="preserve"> </w:t>
      </w:r>
      <w:r>
        <w:t xml:space="preserve">: JWT ID. A string representing an unique identifier for this JWT. May be used to differentiate JWTs.</w:t>
      </w:r>
    </w:p>
    <w:p>
      <w:pPr>
        <w:pStyle w:val="FirstParagraph"/>
      </w:pPr>
      <w:r>
        <w:t xml:space="preserve">Names are short because JWT should be as short as possible.</w:t>
      </w:r>
    </w:p>
    <w:p>
      <w:pPr>
        <w:pStyle w:val="Heading4"/>
      </w:pPr>
      <w:bookmarkStart w:id="28" w:name="public-and-private-claims"/>
      <w:r>
        <w:t xml:space="preserve">Public and Private Claims</w:t>
      </w:r>
      <w:bookmarkEnd w:id="28"/>
    </w:p>
    <w:p>
      <w:pPr>
        <w:pStyle w:val="FirstParagraph"/>
      </w:pPr>
      <w:r>
        <w:t xml:space="preserve">All claims that are not of the</w:t>
      </w:r>
      <w:r>
        <w:t xml:space="preserve"> </w:t>
      </w:r>
      <w:r>
        <w:rPr>
          <w:b/>
        </w:rPr>
        <w:t xml:space="preserve">registered claims</w:t>
      </w:r>
      <w:r>
        <w:t xml:space="preserve"> </w:t>
      </w:r>
      <w:r>
        <w:t xml:space="preserve">are either public or private.</w:t>
      </w:r>
    </w:p>
    <w:p>
      <w:pPr>
        <w:numPr>
          <w:ilvl w:val="0"/>
          <w:numId w:val="1002"/>
        </w:numPr>
        <w:pStyle w:val="Compact"/>
      </w:pPr>
      <w:r>
        <w:t xml:space="preserve">Private : Defined by user (consumer and producers). Used for particular application-specific uses. Care must be taken to prevent collision.</w:t>
      </w:r>
    </w:p>
    <w:p>
      <w:pPr>
        <w:numPr>
          <w:ilvl w:val="0"/>
          <w:numId w:val="1002"/>
        </w:numPr>
        <w:pStyle w:val="Compact"/>
      </w:pPr>
      <w:r>
        <w:t xml:space="preserve">Public : registered with IANA JSON Web Token Claims registry (registry fir users to register their claims to prevent collision) or named using a collision resistant name (with namespace).</w:t>
      </w:r>
    </w:p>
    <w:p>
      <w:pPr>
        <w:pStyle w:val="Heading3"/>
      </w:pPr>
      <w:bookmarkStart w:id="29" w:name="unsecured-jwts"/>
      <w:r>
        <w:t xml:space="preserve">Unsecured JWTs</w:t>
      </w:r>
      <w:bookmarkEnd w:id="29"/>
    </w:p>
    <w:p>
      <w:pPr>
        <w:pStyle w:val="FirstParagraph"/>
      </w:pPr>
      <w:r>
        <w:t xml:space="preserve">Exemple of unsecured JWT :</w:t>
      </w:r>
    </w:p>
    <w:p>
      <w:pPr>
        <w:pStyle w:val="BodyText"/>
      </w:pPr>
      <w:r>
        <w:t xml:space="preserve">Header :</w:t>
      </w:r>
    </w:p>
    <w:p>
      <w:pPr>
        <w:pStyle w:val="SourceCode"/>
      </w:pPr>
      <w:r>
        <w:rPr>
          <w:rStyle w:val="FunctionTok"/>
        </w:rPr>
        <w:t xml:space="preserve">{</w:t>
      </w:r>
      <w:r>
        <w:br/>
      </w:r>
      <w:r>
        <w:rPr>
          <w:rStyle w:val="NormalTok"/>
        </w:rPr>
        <w:t xml:space="preserve">    </w:t>
      </w:r>
      <w:r>
        <w:rPr>
          <w:rStyle w:val="DataTypeTok"/>
        </w:rPr>
        <w:t xml:space="preserve">"alg"</w:t>
      </w:r>
      <w:r>
        <w:rPr>
          <w:rStyle w:val="FunctionTok"/>
        </w:rPr>
        <w:t xml:space="preserve">:</w:t>
      </w:r>
      <w:r>
        <w:rPr>
          <w:rStyle w:val="StringTok"/>
        </w:rPr>
        <w:t xml:space="preserve">"none"</w:t>
      </w:r>
      <w:r>
        <w:br/>
      </w:r>
      <w:r>
        <w:rPr>
          <w:rStyle w:val="FunctionTok"/>
        </w:rPr>
        <w:t xml:space="preserve">}</w:t>
      </w:r>
    </w:p>
    <w:p>
      <w:pPr>
        <w:pStyle w:val="FirstParagraph"/>
      </w:pPr>
      <w:r>
        <w:t xml:space="preserve">Payload :</w:t>
      </w:r>
    </w:p>
    <w:p>
      <w:pPr>
        <w:pStyle w:val="SourceCode"/>
      </w:pPr>
      <w:r>
        <w:rPr>
          <w:rStyle w:val="FunctionTok"/>
        </w:rPr>
        <w:t xml:space="preserve">{</w:t>
      </w:r>
      <w:r>
        <w:br/>
      </w:r>
      <w:r>
        <w:rPr>
          <w:rStyle w:val="NormalTok"/>
        </w:rPr>
        <w:t xml:space="preserve">    </w:t>
      </w:r>
      <w:r>
        <w:rPr>
          <w:rStyle w:val="DataTypeTok"/>
        </w:rPr>
        <w:t xml:space="preserve">"sub"</w:t>
      </w:r>
      <w:r>
        <w:rPr>
          <w:rStyle w:val="FunctionTok"/>
        </w:rPr>
        <w:t xml:space="preserve">:</w:t>
      </w:r>
      <w:r>
        <w:rPr>
          <w:rStyle w:val="StringTok"/>
        </w:rPr>
        <w:t xml:space="preserve">"johnN7"</w:t>
      </w:r>
      <w:r>
        <w:rPr>
          <w:rStyle w:val="FunctionTok"/>
        </w:rPr>
        <w:t xml:space="preserve">,</w:t>
      </w:r>
      <w:r>
        <w:br/>
      </w:r>
      <w:r>
        <w:rPr>
          <w:rStyle w:val="NormalTok"/>
        </w:rPr>
        <w:t xml:space="preserve">    </w:t>
      </w:r>
      <w:r>
        <w:rPr>
          <w:rStyle w:val="DataTypeTok"/>
        </w:rPr>
        <w:t xml:space="preserve">"session"</w:t>
      </w:r>
      <w:r>
        <w:rPr>
          <w:rStyle w:val="FunctionTok"/>
        </w:rPr>
        <w:t xml:space="preserve">:</w:t>
      </w:r>
      <w:r>
        <w:rPr>
          <w:rStyle w:val="StringTok"/>
        </w:rPr>
        <w:t xml:space="preserve">"zehudezyg347tdyeyzde"</w:t>
      </w:r>
      <w:r>
        <w:rPr>
          <w:rStyle w:val="FunctionTok"/>
        </w:rPr>
        <w:t xml:space="preserve">,</w:t>
      </w:r>
      <w:r>
        <w:br/>
      </w:r>
      <w:r>
        <w:rPr>
          <w:rStyle w:val="NormalTok"/>
        </w:rPr>
        <w:t xml:space="preserve">    </w:t>
      </w:r>
      <w:r>
        <w:rPr>
          <w:rStyle w:val="DataTypeTok"/>
        </w:rPr>
        <w:t xml:space="preserve">"name"</w:t>
      </w:r>
      <w:r>
        <w:rPr>
          <w:rStyle w:val="FunctionTok"/>
        </w:rPr>
        <w:t xml:space="preserve">:</w:t>
      </w:r>
      <w:r>
        <w:rPr>
          <w:rStyle w:val="StringTok"/>
        </w:rPr>
        <w:t xml:space="preserve">"John Shepard"</w:t>
      </w:r>
      <w:r>
        <w:rPr>
          <w:rStyle w:val="FunctionTok"/>
        </w:rPr>
        <w:t xml:space="preserve">,</w:t>
      </w:r>
      <w:r>
        <w:br/>
      </w:r>
      <w:r>
        <w:rPr>
          <w:rStyle w:val="NormalTok"/>
        </w:rPr>
        <w:t xml:space="preserve">    </w:t>
      </w:r>
      <w:r>
        <w:rPr>
          <w:rStyle w:val="DataTypeTok"/>
        </w:rPr>
        <w:t xml:space="preserve">"lastpage"</w:t>
      </w:r>
      <w:r>
        <w:rPr>
          <w:rStyle w:val="FunctionTok"/>
        </w:rPr>
        <w:t xml:space="preserve">:</w:t>
      </w:r>
      <w:r>
        <w:rPr>
          <w:rStyle w:val="StringTok"/>
        </w:rPr>
        <w:t xml:space="preserve">"/"</w:t>
      </w:r>
      <w:r>
        <w:br/>
      </w:r>
      <w:r>
        <w:rPr>
          <w:rStyle w:val="FunctionTok"/>
        </w:rPr>
        <w:t xml:space="preserve">}</w:t>
      </w:r>
    </w:p>
    <w:p>
      <w:pPr>
        <w:pStyle w:val="FirstParagraph"/>
      </w:pPr>
      <w:r>
        <w:t xml:space="preserve">No signature / encryption, so the JWT is encoded as two elements :</w:t>
      </w:r>
    </w:p>
    <w:p>
      <w:pPr>
        <w:pStyle w:val="SourceCode"/>
      </w:pPr>
      <w:r>
        <w:rPr>
          <w:rStyle w:val="VerbatimChar"/>
        </w:rPr>
        <w:t xml:space="preserve">ewogICAgImFsZyI6Im5vbmUiCn0K.</w:t>
      </w:r>
      <w:r>
        <w:br/>
      </w:r>
      <w:r>
        <w:rPr>
          <w:rStyle w:val="VerbatimChar"/>
        </w:rPr>
        <w:t xml:space="preserve">ewogICAgInN1YiI6ImpvaG5ONyIsCiAgICAic2Vzc2lvbiI6InplaHVkZXp5ZzM0N3RkeWV5emRlIiwKICAgICJuYW1lIjoiSm9obiBTaGVwYXJkIiwKICAgICJsYXN0cGFnZSI6Ii8iCn0.</w:t>
      </w:r>
    </w:p>
    <w:p>
      <w:pPr>
        <w:pStyle w:val="CaptionedFigure"/>
      </w:pPr>
      <w:r>
        <w:drawing>
          <wp:inline>
            <wp:extent cx="5334000" cy="1496589"/>
            <wp:effectExtent b="0" l="0" r="0" t="0"/>
            <wp:docPr descr="Unsecure JWT" title="" id="1" name="Picture"/>
            <a:graphic>
              <a:graphicData uri="http://schemas.openxmlformats.org/drawingml/2006/picture">
                <pic:pic>
                  <pic:nvPicPr>
                    <pic:cNvPr descr="images/unsecure.png" id="0" name="Picture"/>
                    <pic:cNvPicPr>
                      <a:picLocks noChangeArrowheads="1" noChangeAspect="1"/>
                    </pic:cNvPicPr>
                  </pic:nvPicPr>
                  <pic:blipFill>
                    <a:blip r:embed="rId3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0" cy="1496589"/>
                    </a:xfrm>
                    <a:prstGeom prst="rect">
                      <a:avLst/>
                    </a:prstGeom>
                    <a:noFill/>
                    <a:ln w="9525">
                      <a:noFill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pStyle w:val="ImageCaption"/>
      </w:pPr>
      <w:r>
        <w:t xml:space="preserve">Unsecure JWT</w:t>
      </w:r>
    </w:p>
    <w:p>
      <w:pPr>
        <w:pStyle w:val="BodyText"/>
      </w:pPr>
      <w:r>
        <w:t xml:space="preserve">Unsecured JWT are rarely used.</w:t>
      </w:r>
    </w:p>
    <w:p>
      <w:pPr>
        <w:pStyle w:val="Heading2"/>
      </w:pPr>
      <w:bookmarkStart w:id="31" w:name="json-web-signatures"/>
      <w:r>
        <w:t xml:space="preserve">JSON Web Signatures</w:t>
      </w:r>
      <w:bookmarkEnd w:id="31"/>
    </w:p>
    <w:p>
      <w:pPr>
        <w:pStyle w:val="Heading3"/>
      </w:pPr>
      <w:bookmarkStart w:id="32" w:name="structure-of-a-signed-jwt"/>
      <w:r>
        <w:t xml:space="preserve">Structure of a Signed JWT</w:t>
      </w:r>
      <w:bookmarkEnd w:id="32"/>
    </w:p>
    <w:p>
      <w:pPr>
        <w:pStyle w:val="FirstParagraph"/>
      </w:pPr>
      <w:r>
        <w:t xml:space="preserve">Signed JWT Carry a signature after the last dot (</w:t>
      </w:r>
      <w:r>
        <w:rPr>
          <w:rStyle w:val="VerbatimChar"/>
        </w:rPr>
        <w:t xml:space="preserve">.</w:t>
      </w:r>
      <w:r>
        <w:t xml:space="preserve">) in the compact serialization form. Several type of signing algorithms are available :</w:t>
      </w:r>
      <w:r>
        <w:t xml:space="preserve"> </w:t>
      </w:r>
      <w:r>
        <w:t xml:space="preserve">* HMAC SHA-256 (HS256)</w:t>
      </w:r>
      <w:r>
        <w:t xml:space="preserve"> </w:t>
      </w:r>
      <w:r>
        <w:rPr>
          <w:i/>
        </w:rPr>
        <w:t xml:space="preserve">- preferred</w:t>
      </w:r>
      <w:r>
        <w:t xml:space="preserve"> </w:t>
      </w:r>
      <w:r>
        <w:t xml:space="preserve">* RSASSA PKCS1 v1.5 SHA-256 (RS256)</w:t>
      </w:r>
      <w:r>
        <w:t xml:space="preserve"> </w:t>
      </w:r>
      <w:r>
        <w:rPr>
          <w:i/>
        </w:rPr>
        <w:t xml:space="preserve">- recommended</w:t>
      </w:r>
      <w:r>
        <w:t xml:space="preserve"> </w:t>
      </w:r>
      <w:r>
        <w:t xml:space="preserve">* ECDSA P-256/SHA-256 (ES256</w:t>
      </w:r>
      <w:r>
        <w:t xml:space="preserve"> </w:t>
      </w:r>
      <w:r>
        <w:rPr>
          <w:i/>
        </w:rPr>
        <w:t xml:space="preserve">- recommended</w:t>
      </w:r>
      <w:r>
        <w:t xml:space="preserve">)</w:t>
      </w:r>
    </w:p>
    <w:p>
      <w:pPr>
        <w:pStyle w:val="Heading3"/>
      </w:pPr>
      <w:bookmarkStart w:id="33" w:name="compact-serialization"/>
      <w:r>
        <w:t xml:space="preserve">Compact Serialization</w:t>
      </w:r>
      <w:bookmarkEnd w:id="33"/>
    </w:p>
    <w:p>
      <w:pPr>
        <w:pStyle w:val="CaptionedFigure"/>
      </w:pPr>
      <w:r>
        <w:drawing>
          <wp:inline>
            <wp:extent cx="5334000" cy="2615787"/>
            <wp:effectExtent b="0" l="0" r="0" t="0"/>
            <wp:docPr descr="Signed JWT" title="" id="1" name="Picture"/>
            <a:graphic>
              <a:graphicData uri="http://schemas.openxmlformats.org/drawingml/2006/picture">
                <pic:pic>
                  <pic:nvPicPr>
                    <pic:cNvPr descr="images/signed.png" id="0" name="Picture"/>
                    <pic:cNvPicPr>
                      <a:picLocks noChangeArrowheads="1" noChangeAspect="1"/>
                    </pic:cNvPicPr>
                  </pic:nvPicPr>
                  <pic:blipFill>
                    <a:blip r:embed="rId3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0" cy="2615787"/>
                    </a:xfrm>
                    <a:prstGeom prst="rect">
                      <a:avLst/>
                    </a:prstGeom>
                    <a:noFill/>
                    <a:ln w="9525">
                      <a:noFill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pStyle w:val="ImageCaption"/>
      </w:pPr>
      <w:r>
        <w:t xml:space="preserve">Signed JWT</w:t>
      </w:r>
    </w:p>
    <w:p>
      <w:pPr>
        <w:pStyle w:val="Heading3"/>
      </w:pPr>
      <w:bookmarkStart w:id="35" w:name="algorithms"/>
      <w:r>
        <w:t xml:space="preserve">Algorithms</w:t>
      </w:r>
      <w:bookmarkEnd w:id="35"/>
    </w:p>
    <w:p>
      <w:pPr>
        <w:pStyle w:val="Heading4"/>
      </w:pPr>
      <w:bookmarkStart w:id="36" w:name="hs256"/>
      <w:r>
        <w:t xml:space="preserve">HS256</w:t>
      </w:r>
      <w:bookmarkEnd w:id="36"/>
    </w:p>
    <w:p>
      <w:pPr>
        <w:pStyle w:val="FirstParagraph"/>
      </w:pPr>
      <w:r>
        <w:t xml:space="preserve">HMAC is an algorithm that combines a payload with a secret using a cryptographic hash function (SHA-256). The result can be used to verify a message only if both the generating and verifying parties know the secret. HMAC allows messages to be verified through shared secrets.</w:t>
      </w:r>
    </w:p>
    <w:p>
      <w:pPr>
        <w:pStyle w:val="Heading4"/>
      </w:pPr>
      <w:bookmarkStart w:id="37" w:name="rsassa"/>
      <w:r>
        <w:t xml:space="preserve">RSASSA</w:t>
      </w:r>
      <w:bookmarkEnd w:id="37"/>
    </w:p>
    <w:p>
      <w:pPr>
        <w:pStyle w:val="FirstParagraph"/>
      </w:pPr>
      <w:r>
        <w:t xml:space="preserve">Variation of the RSA Algorithm, adapted for signature. The private key is used to to sign &amp; verify the message, and a public key can be used to only verify the message. It allows</w:t>
      </w:r>
      <w:r>
        <w:t xml:space="preserve"> </w:t>
      </w:r>
      <w:r>
        <w:rPr>
          <w:b/>
        </w:rPr>
        <w:t xml:space="preserve">one to many</w:t>
      </w:r>
      <w:r>
        <w:t xml:space="preserve"> </w:t>
      </w:r>
      <w:r>
        <w:t xml:space="preserve">secure message distribution.</w:t>
      </w:r>
    </w:p>
    <w:p>
      <w:pPr>
        <w:pStyle w:val="Heading2"/>
      </w:pPr>
      <w:bookmarkStart w:id="38" w:name="json-web-encryption"/>
      <w:r>
        <w:t xml:space="preserve">JSON Web Encryption</w:t>
      </w:r>
      <w:bookmarkEnd w:id="38"/>
    </w:p>
    <w:p>
      <w:pPr>
        <w:pStyle w:val="FirstParagraph"/>
      </w:pPr>
      <w:r>
        <w:t xml:space="preserve">JWS is for validating data. JWE keeps data unreadable to third parties. As JWS, JWE provides a shared secret scheme, which works like in JWS, and a public/private key scheme which works differently : public key holder encrypt data which is decrypted by private key holders.</w:t>
      </w:r>
    </w:p>
    <w:p>
      <w:pPr>
        <w:pStyle w:val="Heading3"/>
      </w:pPr>
      <w:bookmarkStart w:id="39" w:name="structure-of-encrypted-jwt"/>
      <w:r>
        <w:t xml:space="preserve">Structure of Encrypted JWT</w:t>
      </w:r>
      <w:bookmarkEnd w:id="39"/>
    </w:p>
    <w:p>
      <w:pPr>
        <w:pStyle w:val="FirstParagraph"/>
      </w:pPr>
      <w:r>
        <w:t xml:space="preserve">A JWE Contains 5 elements :</w:t>
      </w:r>
      <w:r>
        <w:t xml:space="preserve"> </w:t>
      </w:r>
      <w:r>
        <w:t xml:space="preserve">* Protected Header : header equivalent to JWS header</w:t>
      </w:r>
      <w:r>
        <w:t xml:space="preserve"> </w:t>
      </w:r>
      <w:r>
        <w:t xml:space="preserve">* Encrypted Key : Symetric key used to encrypt ciphertext.</w:t>
      </w:r>
      <w:r>
        <w:t xml:space="preserve"> </w:t>
      </w:r>
      <w:r>
        <w:t xml:space="preserve">* Initilization Vector : random data for encryption algorithm</w:t>
      </w:r>
      <w:r>
        <w:t xml:space="preserve"> </w:t>
      </w:r>
      <w:r>
        <w:t xml:space="preserve">* Ciphertext : Data being encrypted</w:t>
      </w:r>
      <w:r>
        <w:t xml:space="preserve"> </w:t>
      </w:r>
      <w:r>
        <w:t xml:space="preserve">* Authentication Tag : Additionnal data produced by encryption algorithm used to validate ciphertext against tampering.</w:t>
      </w:r>
    </w:p>
    <w:sectPr/>
  </w:body>
</w:document>
</file>

<file path=word/comments.xml><?xml version="1.0" encoding="utf-8"?>
<w:comment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/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2000500000000000000"/>
    <w:charset w:val="02"/>
    <w:family w:val="auto"/>
    <w:pitch w:val="variable"/>
    <w:sig w:usb0="00000000" w:usb1="00000000" w:usb2="0001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20102010804080708"/>
    <w:charset w:val="02"/>
    <w:family w:val="auto"/>
    <w:pitch w:val="variable"/>
    <w:sig w:usb0="00000000" w:usb1="00000000" w:usb2="00010000" w:usb3="00000000" w:csb0="8000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footnote w:type="continuationSeparator" w:id="0">
    <w:p>
      <w:r>
        <w:continuationSeparator/>
      </w:r>
    </w:p>
  </w:footnote>
  <w:footnote w:type="separator" w:id="-1">
    <w:p>
      <w:r>
        <w:separator/>
      </w:r>
    </w:p>
  </w:footnote>
</w:footnotes>
</file>

<file path=word/numbering.xml><?xml version="1.0" encoding="utf-8"?>
<w:numbering xmlns:w="http://schemas.openxmlformats.org/wordprocessingml/2006/main">
  <w:abstractNum w:abstractNumId="990">
    <w:nsid w:val="2c1ae401"/>
    <w:multiLevelType w:val="multilevel"/>
    <w:lvl w:ilvl="0">
      <w:numFmt w:val="bullet"/>
      <w:lvlText w:val=" "/>
      <w:lvlJc w:val="left"/>
      <w:pPr>
        <w:tabs>
          <w:tab w:val="num" w:pos="0"/>
        </w:tabs>
        <w:ind w:left="480" w:hanging="480"/>
      </w:pPr>
    </w:lvl>
    <w:lvl w:ilvl="1">
      <w:numFmt w:val="bullet"/>
      <w:lvlText w:val=" "/>
      <w:lvlJc w:val="left"/>
      <w:pPr>
        <w:tabs>
          <w:tab w:val="num" w:pos="720"/>
        </w:tabs>
        <w:ind w:left="1200" w:hanging="480"/>
      </w:pPr>
    </w:lvl>
    <w:lvl w:ilvl="2">
      <w:numFmt w:val="bullet"/>
      <w:lvlText w:val=" "/>
      <w:lvlJc w:val="left"/>
      <w:pPr>
        <w:tabs>
          <w:tab w:val="num" w:pos="1440"/>
        </w:tabs>
        <w:ind w:left="1920" w:hanging="480"/>
      </w:pPr>
    </w:lvl>
    <w:lvl w:ilvl="3">
      <w:numFmt w:val="bullet"/>
      <w:lvlText w:val=" "/>
      <w:lvlJc w:val="left"/>
      <w:pPr>
        <w:tabs>
          <w:tab w:val="num" w:pos="2160"/>
        </w:tabs>
        <w:ind w:left="2640" w:hanging="480"/>
      </w:pPr>
    </w:lvl>
    <w:lvl w:ilvl="4">
      <w:numFmt w:val="bullet"/>
      <w:lvlText w:val=" "/>
      <w:lvlJc w:val="left"/>
      <w:pPr>
        <w:tabs>
          <w:tab w:val="num" w:pos="2880"/>
        </w:tabs>
        <w:ind w:left="3360" w:hanging="480"/>
      </w:pPr>
    </w:lvl>
    <w:lvl w:ilvl="5">
      <w:numFmt w:val="bullet"/>
      <w:lvlText w:val=" "/>
      <w:lvlJc w:val="left"/>
      <w:pPr>
        <w:tabs>
          <w:tab w:val="num" w:pos="3600"/>
        </w:tabs>
        <w:ind w:left="4080" w:hanging="480"/>
      </w:pPr>
    </w:lvl>
    <w:lvl w:ilvl="6">
      <w:numFmt w:val="bullet"/>
      <w:lvlText w:val=" "/>
      <w:lvlJc w:val="left"/>
      <w:pPr>
        <w:tabs>
          <w:tab w:val="num" w:pos="4320"/>
        </w:tabs>
        <w:ind w:left="4800" w:hanging="480"/>
      </w:pPr>
    </w:lvl>
    <w:lvl w:ilvl="7">
      <w:numFmt w:val="bullet"/>
      <w:lvlText w:val=" "/>
      <w:lvlJc w:val="left"/>
      <w:pPr>
        <w:tabs>
          <w:tab w:val="num" w:pos="5040"/>
        </w:tabs>
        <w:ind w:left="5520" w:hanging="480"/>
      </w:pPr>
    </w:lvl>
    <w:lvl w:ilvl="8">
      <w:numFmt w:val="bullet"/>
      <w:lvlText w:val=" "/>
      <w:lvlJc w:val="left"/>
      <w:pPr>
        <w:tabs>
          <w:tab w:val="num" w:pos="5760"/>
        </w:tabs>
        <w:ind w:left="6240" w:hanging="480"/>
      </w:pPr>
    </w:lvl>
  </w:abstractNum>
  <w:abstractNum w:abstractNumId="991">
    <w:nsid w:val="ea454b4c"/>
    <w:multiLevelType w:val="multilevel"/>
    <w:lvl w:ilvl="0">
      <w:numFmt w:val="bullet"/>
      <w:lvlText w:val="•"/>
      <w:lvlJc w:val="left"/>
      <w:pPr>
        <w:tabs>
          <w:tab w:val="num" w:pos="0"/>
        </w:tabs>
        <w:ind w:left="480" w:hanging="480"/>
      </w:pPr>
    </w:lvl>
    <w:lvl w:ilvl="1">
      <w:numFmt w:val="bullet"/>
      <w:lvlText w:val="–"/>
      <w:lvlJc w:val="left"/>
      <w:pPr>
        <w:tabs>
          <w:tab w:val="num" w:pos="720"/>
        </w:tabs>
        <w:ind w:left="1200" w:hanging="480"/>
      </w:pPr>
    </w:lvl>
    <w:lvl w:ilvl="2">
      <w:numFmt w:val="bullet"/>
      <w:lvlText w:val="•"/>
      <w:lvlJc w:val="left"/>
      <w:pPr>
        <w:tabs>
          <w:tab w:val="num" w:pos="1440"/>
        </w:tabs>
        <w:ind w:left="1920" w:hanging="480"/>
      </w:pPr>
    </w:lvl>
    <w:lvl w:ilvl="3">
      <w:numFmt w:val="bullet"/>
      <w:lvlText w:val="–"/>
      <w:lvlJc w:val="left"/>
      <w:pPr>
        <w:tabs>
          <w:tab w:val="num" w:pos="2160"/>
        </w:tabs>
        <w:ind w:left="2640" w:hanging="480"/>
      </w:pPr>
    </w:lvl>
    <w:lvl w:ilvl="4">
      <w:numFmt w:val="bullet"/>
      <w:lvlText w:val="•"/>
      <w:lvlJc w:val="left"/>
      <w:pPr>
        <w:tabs>
          <w:tab w:val="num" w:pos="2880"/>
        </w:tabs>
        <w:ind w:left="3360" w:hanging="480"/>
      </w:pPr>
    </w:lvl>
    <w:lvl w:ilvl="5">
      <w:numFmt w:val="bullet"/>
      <w:lvlText w:val="–"/>
      <w:lvlJc w:val="left"/>
      <w:pPr>
        <w:tabs>
          <w:tab w:val="num" w:pos="3600"/>
        </w:tabs>
        <w:ind w:left="4080" w:hanging="480"/>
      </w:pPr>
    </w:lvl>
    <w:lvl w:ilvl="6">
      <w:numFmt w:val="bullet"/>
      <w:lvlText w:val="•"/>
      <w:lvlJc w:val="left"/>
      <w:pPr>
        <w:tabs>
          <w:tab w:val="num" w:pos="4320"/>
        </w:tabs>
        <w:ind w:left="4800" w:hanging="480"/>
      </w:pPr>
    </w:lvl>
    <w:lvl w:ilvl="7">
      <w:numFmt w:val="bullet"/>
      <w:lvlText w:val="–"/>
      <w:lvlJc w:val="left"/>
      <w:pPr>
        <w:tabs>
          <w:tab w:val="num" w:pos="5040"/>
        </w:tabs>
        <w:ind w:left="5520" w:hanging="480"/>
      </w:pPr>
    </w:lvl>
    <w:lvl w:ilvl="8">
      <w:numFmt w:val="bullet"/>
      <w:lvlText w:val="•"/>
      <w:lvlJc w:val="left"/>
      <w:pPr>
        <w:tabs>
          <w:tab w:val="num" w:pos="5760"/>
        </w:tabs>
        <w:ind w:left="6240" w:hanging="480"/>
      </w:pPr>
    </w:lvl>
  </w:abstractNum>
  <w:num w:numId="1000">
    <w:abstractNumId w:val="990"/>
  </w:num>
  <w:num w:numId="1001">
    <w:abstractNumId w:val="991"/>
  </w:num>
  <w:num w:numId="1002">
    <w:abstractNumId w:val="99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proofState w:spelling="clean" w:grammar="clean"/>
  <w:stylePaneFormatFilter w:val="0004"/>
  <w:footnotePr>
    <w:footnote w:id="-1"/>
    <w:footnote w:id="0"/>
  </w:footnotePr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rsids>
    <w:rsidRoot w:val="00590D07"/>
    <w:rsid w:val="00011C8B"/>
    <w:rsid w:val="004E29B3"/>
    <w:rsid w:val="00590D07"/>
    <w:rsid w:val="00784D58"/>
    <w:rsid w:val="008D6863"/>
    <w:rsid w:val="00B86B75"/>
    <w:rsid w:val="00BC48D5"/>
    <w:rsid w:val="00C36279"/>
    <w:rsid w:val="00E315A3"/>
  </w:rsids>
  <m:mathPr>
    <m:mathFont m:val="Lucida Grande"/>
    <m:brkBin m:val="before"/>
    <m:brkBinSub m:val="--"/>
    <m:smallFrac m:val="false"/>
    <m:dispDef m:val="false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:proofState w:spelling="clean" w:grammar="clean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0" w:defSemiHidden="0" w:defUnhideWhenUsed="0" w:defQFormat="0" w:count="276"/>
  <w:style w:type="paragraph" w:default="1" w:styleId="Normal">
    <w:name w:val="Normal"/>
    <w:qFormat/>
  </w:style>
  <w:style w:type="paragraph" w:styleId="BodyText">
    <w:name w:val="Body Text"/>
    <w:basedOn w:val="Normal"/>
    <w:link w:val="BodyTextChar"/>
    <w:pPr>
      <w:spacing w:before="180" w:after="180"/>
    </w:pPr>
    <w:qFormat/>
  </w:style>
  <w:style w:type="paragraph" w:customStyle="1" w:styleId="FirstParagraph">
    <w:name w:val="First Paragraph"/>
    <w:basedOn w:val="BodyText"/>
    <w:next w:val="BodyText"/>
    <w:qFormat/>
  </w:style>
  <w:style w:type="paragraph" w:customStyle="1" w:styleId="Compact">
    <w:name w:val="Compact"/>
    <w:basedOn w:val="BodyText"/>
    <w:qFormat/>
    <w:pPr>
      <w:spacing w:before="36" w:after="36"/>
    </w:pPr>
  </w:style>
  <w:style w:type="paragraph" w:styleId="Title">
    <w:name w:val="Title"/>
    <w:basedOn w:val="Normal"/>
    <w:next w:val="BodyText"/>
    <w:qFormat/>
    <w:pPr>
      <w:keepNext/>
      <w:keepLines/>
      <w:spacing w:before="480" w:after="240"/>
      <w:jc w:val="center"/>
    </w:pPr>
    <w:rPr>
      <w:rFonts w:asciiTheme="majorHAnsi" w:eastAsiaTheme="majorEastAsia" w:hAnsiTheme="majorHAnsi" w:cstheme="majorBidi"/>
      <w:b/>
      <w:bCs/>
      <w:color w:val="345A8A" w:themeColor="accent1" w:themeShade="B5"/>
      <w:sz w:val="36"/>
      <w:szCs w:val="36"/>
    </w:rPr>
  </w:style>
  <w:style w:type="paragraph" w:styleId="Subtitle">
    <w:name w:val="Subtitle"/>
    <w:basedOn w:val="Title"/>
    <w:next w:val="BodyText"/>
    <w:qFormat/>
    <w:pPr>
      <w:keepNext/>
      <w:keepLines/>
      <w:spacing w:before="240" w:after="240"/>
      <w:jc w:val="center"/>
    </w:pPr>
    <w:rPr>
      <w:sz w:val="30"/>
      <w:szCs w:val="30"/>
    </w:rPr>
  </w:style>
  <w:style w:type="paragraph" w:customStyle="1" w:styleId="Author">
    <w:name w:val="Author"/>
    <w:next w:val="BodyText"/>
    <w:qFormat/>
    <w:pPr>
      <w:keepNext/>
      <w:keepLines/>
      <w:jc w:val="center"/>
    </w:pPr>
  </w:style>
  <w:style w:type="paragraph" w:styleId="Date">
    <w:name w:val="Date"/>
    <w:next w:val="BodyText"/>
    <w:qFormat/>
    <w:pPr>
      <w:keepNext/>
      <w:keepLines/>
      <w:jc w:val="center"/>
    </w:pPr>
  </w:style>
  <w:style w:type="paragraph" w:customStyle="1" w:styleId="Abstract">
    <w:name w:val="Abstract"/>
    <w:basedOn w:val="Normal"/>
    <w:next w:val="BodyText"/>
    <w:qFormat/>
    <w:pPr>
      <w:keepNext/>
      <w:keepLines/>
      <w:spacing w:before="300" w:after="300"/>
    </w:pPr>
    <w:rPr>
      <w:sz w:val="20"/>
      <w:szCs w:val="20"/>
    </w:rPr>
  </w:style>
  <w:style w:type="paragraph" w:styleId="Bibliography">
    <w:name w:val="Bibliography"/>
    <w:basedOn w:val="Normal"/>
    <w:next w:val="Bibliography"/>
    <w:qFormat/>
    <w:pPr/>
    <w:rPr/>
  </w:style>
  <w:style w:type="paragraph" w:styleId="Heading1">
    <w:name w:val="Heading 1"/>
    <w:basedOn w:val="Normal"/>
    <w:next w:val="BodyText"/>
    <w:uiPriority w:val="9"/>
    <w:qFormat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4F81BD" w:themeColor="accent1"/>
      <w:sz w:val="32"/>
      <w:szCs w:val="32"/>
    </w:rPr>
  </w:style>
  <w:style w:type="paragraph" w:styleId="Heading2">
    <w:name w:val="Heading 2"/>
    <w:basedOn w:val="Normal"/>
    <w:next w:val="BodyText"/>
    <w:uiPriority w:val="9"/>
    <w:unhideWhenUsed/>
    <w:qFormat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8"/>
      <w:szCs w:val="28"/>
    </w:rPr>
  </w:style>
  <w:style w:type="paragraph" w:styleId="Heading3">
    <w:name w:val="Heading 3"/>
    <w:basedOn w:val="Normal"/>
    <w:next w:val="BodyText"/>
    <w:uiPriority w:val="9"/>
    <w:unhideWhenUsed/>
    <w:qFormat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  <w:sz w:val="24"/>
      <w:szCs w:val="24"/>
    </w:rPr>
  </w:style>
  <w:style w:type="paragraph" w:styleId="Heading4">
    <w:name w:val="Heading 4"/>
    <w:basedOn w:val="Normal"/>
    <w:next w:val="BodyText"/>
    <w:uiPriority w:val="9"/>
    <w:unhideWhenUsed/>
    <w:qFormat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i/>
      <w:bCs/>
      <w:color w:val="4F81BD" w:themeColor="accent1"/>
      <w:sz w:val="24"/>
      <w:szCs w:val="24"/>
    </w:rPr>
  </w:style>
  <w:style w:type="paragraph" w:styleId="Heading5">
    <w:name w:val="Heading 5"/>
    <w:basedOn w:val="Normal"/>
    <w:next w:val="BodyText"/>
    <w:uiPriority w:val="9"/>
    <w:unhideWhenUsed/>
    <w:qFormat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iCs/>
      <w:color w:val="4F81BD" w:themeColor="accent1"/>
      <w:sz w:val="24"/>
      <w:szCs w:val="24"/>
    </w:rPr>
  </w:style>
  <w:style w:type="paragraph" w:styleId="Heading6">
    <w:name w:val="Heading 6"/>
    <w:basedOn w:val="Normal"/>
    <w:next w:val="BodyText"/>
    <w:uiPriority w:val="9"/>
    <w:unhideWhenUsed/>
    <w:qFormat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color w:val="4F81BD" w:themeColor="accent1"/>
      <w:sz w:val="24"/>
      <w:szCs w:val="24"/>
    </w:rPr>
  </w:style>
  <w:style w:type="paragraph" w:styleId="Heading7">
    <w:name w:val="Heading 7"/>
    <w:basedOn w:val="Normal"/>
    <w:next w:val="BodyText"/>
    <w:uiPriority w:val="9"/>
    <w:unhideWhenUsed/>
    <w:qFormat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color w:val="4F81BD" w:themeColor="accent1"/>
      <w:sz w:val="24"/>
      <w:szCs w:val="24"/>
    </w:rPr>
  </w:style>
  <w:style w:type="paragraph" w:styleId="Heading8">
    <w:name w:val="Heading 8"/>
    <w:basedOn w:val="Normal"/>
    <w:next w:val="BodyText"/>
    <w:uiPriority w:val="9"/>
    <w:unhideWhenUsed/>
    <w:qFormat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4"/>
      <w:szCs w:val="24"/>
    </w:rPr>
  </w:style>
  <w:style w:type="paragraph" w:styleId="Heading9">
    <w:name w:val="Heading 9"/>
    <w:basedOn w:val="Normal"/>
    <w:next w:val="BodyText"/>
    <w:uiPriority w:val="9"/>
    <w:unhideWhenUsed/>
    <w:qFormat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color w:val="4F81BD" w:themeColor="accent1"/>
      <w:sz w:val="24"/>
      <w:szCs w:val="24"/>
    </w:rPr>
  </w:style>
  <w:style w:type="paragraph" w:styleId="BlockText">
    <w:name w:val="Block Text"/>
    <w:basedOn w:val="BodyText"/>
    <w:next w:val="BodyText"/>
    <w:uiPriority w:val="9"/>
    <w:unhideWhenUsed/>
    <w:qFormat/>
    <w:pPr>
      <w:spacing w:before="100" w:after="100"/>
      <w:ind w:firstLine="0" w:left="480" w:right="480"/>
    </w:pPr>
  </w:style>
  <w:style w:type="paragraph" w:styleId="FootnoteText">
    <w:name w:val="Footnote Text"/>
    <w:basedOn w:val="Normal"/>
    <w:next w:val="FootnoteText"/>
    <w:uiPriority w:val="9"/>
    <w:unhideWhenUsed/>
    <w:qFormat/>
  </w:style>
  <w:style w:type="character" w:default="1" w:styleId="DefaultParagraphFont">
    <w:name w:val="Default Paragraph Font"/>
    <w:semiHidden/>
    <w:unhideWhenUsed/>
  </w:style>
  <w:style w:type="table" w:default="1" w:styleId="Table">
    <w:name w:val="Table"/>
    <w:basedOn w:val="TableNormal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initionTerm">
    <w:name w:val="Definition Term"/>
    <w:basedOn w:val="Normal"/>
    <w:next w:val="Definition"/>
    <w:pPr>
      <w:keepNext/>
      <w:keepLines/>
      <w:spacing w:after="0"/>
    </w:pPr>
    <w:rPr>
      <w:b/>
    </w:rPr>
  </w:style>
  <w:style w:type="paragraph" w:customStyle="1" w:styleId="Definition">
    <w:name w:val="Definition"/>
    <w:basedOn w:val="Normal"/>
  </w:style>
  <w:style w:type="paragraph" w:styleId="Caption">
    <w:name w:val="Caption"/>
    <w:basedOn w:val="Normal"/>
    <w:link w:val="BodyTextChar"/>
    <w:pPr>
      <w:spacing w:before="0" w:after="120"/>
    </w:pPr>
    <w:rPr>
      <w:i/>
    </w:rPr>
  </w:style>
  <w:style w:type="paragraph" w:customStyle="1" w:styleId="TableCaption">
    <w:name w:val="Table Caption"/>
    <w:basedOn w:val="Caption"/>
    <w:pPr>
      <w:keepNext/>
    </w:pPr>
  </w:style>
  <w:style w:type="paragraph" w:customStyle="1" w:styleId="ImageCaption">
    <w:name w:val="Image Caption"/>
    <w:basedOn w:val="Caption"/>
  </w:style>
  <w:style w:type="paragraph" w:customStyle="1" w:styleId="Figure">
    <w:name w:val="Figure"/>
    <w:basedOn w:val="Normal"/>
  </w:style>
  <w:style w:type="paragraph" w:customStyle="1" w:styleId="CaptionedFigure">
    <w:name w:val="Captioned Figure"/>
    <w:basedOn w:val="Figure"/>
    <w:pPr>
      <w:keepNext/>
    </w:pPr>
  </w:style>
  <w:style w:type="character" w:customStyle="1" w:styleId="BodyTextChar">
    <w:name w:val="Body Text Char"/>
    <w:basedOn w:val="DefaultParagraphFont"/>
    <w:link w:val="BodyText"/>
  </w:style>
  <w:style w:type="character" w:customStyle="1" w:styleId="VerbatimChar">
    <w:name w:val="Verbatim Char"/>
    <w:basedOn w:val="BodyTextChar"/>
    <w:rPr>
      <w:rFonts w:ascii="Consolas" w:hAnsi="Consolas"/>
      <w:sz w:val="22"/>
    </w:rPr>
  </w:style>
  <w:style w:type="character" w:styleId="FootnoteReference">
    <w:name w:val="Footnote Reference"/>
    <w:basedOn w:val="BodyTextChar"/>
    <w:rPr>
      <w:vertAlign w:val="superscript"/>
    </w:rPr>
  </w:style>
  <w:style w:type="character" w:styleId="Hyperlink">
    <w:name w:val="Hyperlink"/>
    <w:basedOn w:val="BodyTextChar"/>
    <w:rPr>
      <w:color w:val="4F81BD" w:themeColor="accent1"/>
    </w:rPr>
  </w:style>
  <w:style w:type="paragraph" w:styleId="TOCHeading">
    <w:name w:val="TOC Heading"/>
    <w:basedOn w:val="Heading1"/>
    <w:next w:val="BodyText"/>
    <w:uiPriority w:val="39"/>
    <w:unhideWhenUsed/>
    <w:qFormat/>
    <w:pPr>
      <w:spacing w:before="240" w:line="259" w:lineRule="auto"/>
      <w:outlineLvl w:val="9"/>
    </w:pPr>
    <w:rPr>
      <w:rFonts w:asciiTheme="majorHAnsi" w:eastAsiaTheme="majorEastAsia" w:hAnsiTheme="majorHAnsi" w:cstheme="majorBidi"/>
      <w:b w:val="0"/>
      <w:bCs w:val="0"/>
      <w:color w:val="365F91" w:themeColor="accent1" w:themeShade="BF"/>
    </w:rPr>
  </w:style>
  <w:style w:type="paragraph" w:customStyle="1" w:styleId="SourceCode">
    <w:name w:val="Source Code"/>
    <w:basedOn w:val="Normal"/>
    <w:link w:val="VerbatimChar"/>
    <w:pPr>
      <w:wordWrap w:val="off"/>
    </w:pPr>
  </w:style>
  <w:style w:type="character" w:customStyle="1" w:styleId="KeywordTok">
    <w:name w:val="KeywordTok"/>
    <w:basedOn w:val="VerbatimChar"/>
    <w:rPr>
      <w:color w:val="007020"/>
      <w:b/>
    </w:rPr>
  </w:style>
  <w:style w:type="character" w:customStyle="1" w:styleId="DataTypeTok">
    <w:name w:val="DataTypeTok"/>
    <w:basedOn w:val="VerbatimChar"/>
    <w:rPr>
      <w:color w:val="902000"/>
    </w:rPr>
  </w:style>
  <w:style w:type="character" w:customStyle="1" w:styleId="DecValTok">
    <w:name w:val="DecValTok"/>
    <w:basedOn w:val="VerbatimChar"/>
    <w:rPr>
      <w:color w:val="40a070"/>
    </w:rPr>
  </w:style>
  <w:style w:type="character" w:customStyle="1" w:styleId="BaseNTok">
    <w:name w:val="BaseNTok"/>
    <w:basedOn w:val="VerbatimChar"/>
    <w:rPr>
      <w:color w:val="40a070"/>
    </w:rPr>
  </w:style>
  <w:style w:type="character" w:customStyle="1" w:styleId="FloatTok">
    <w:name w:val="FloatTok"/>
    <w:basedOn w:val="VerbatimChar"/>
    <w:rPr>
      <w:color w:val="40a070"/>
    </w:rPr>
  </w:style>
  <w:style w:type="character" w:customStyle="1" w:styleId="ConstantTok">
    <w:name w:val="ConstantTok"/>
    <w:basedOn w:val="VerbatimChar"/>
    <w:rPr>
      <w:color w:val="880000"/>
    </w:rPr>
  </w:style>
  <w:style w:type="character" w:customStyle="1" w:styleId="CharTok">
    <w:name w:val="CharTok"/>
    <w:basedOn w:val="VerbatimChar"/>
    <w:rPr>
      <w:color w:val="4070a0"/>
    </w:rPr>
  </w:style>
  <w:style w:type="character" w:customStyle="1" w:styleId="SpecialCharTok">
    <w:name w:val="SpecialCharTok"/>
    <w:basedOn w:val="VerbatimChar"/>
    <w:rPr>
      <w:color w:val="4070a0"/>
    </w:rPr>
  </w:style>
  <w:style w:type="character" w:customStyle="1" w:styleId="StringTok">
    <w:name w:val="StringTok"/>
    <w:basedOn w:val="VerbatimChar"/>
    <w:rPr>
      <w:color w:val="4070a0"/>
    </w:rPr>
  </w:style>
  <w:style w:type="character" w:customStyle="1" w:styleId="VerbatimStringTok">
    <w:name w:val="VerbatimStringTok"/>
    <w:basedOn w:val="VerbatimChar"/>
    <w:rPr>
      <w:color w:val="4070a0"/>
    </w:rPr>
  </w:style>
  <w:style w:type="character" w:customStyle="1" w:styleId="SpecialStringTok">
    <w:name w:val="SpecialStringTok"/>
    <w:basedOn w:val="VerbatimChar"/>
    <w:rPr>
      <w:color w:val="bb6688"/>
    </w:rPr>
  </w:style>
  <w:style w:type="character" w:customStyle="1" w:styleId="ImportTok">
    <w:name w:val="ImportTok"/>
    <w:basedOn w:val="VerbatimChar"/>
    <w:rPr/>
  </w:style>
  <w:style w:type="character" w:customStyle="1" w:styleId="CommentTok">
    <w:name w:val="CommentTok"/>
    <w:basedOn w:val="VerbatimChar"/>
    <w:rPr>
      <w:color w:val="60a0b0"/>
      <w:i/>
    </w:rPr>
  </w:style>
  <w:style w:type="character" w:customStyle="1" w:styleId="DocumentationTok">
    <w:name w:val="DocumentationTok"/>
    <w:basedOn w:val="VerbatimChar"/>
    <w:rPr>
      <w:color w:val="ba2121"/>
      <w:i/>
    </w:rPr>
  </w:style>
  <w:style w:type="character" w:customStyle="1" w:styleId="AnnotationTok">
    <w:name w:val="AnnotationTok"/>
    <w:basedOn w:val="VerbatimChar"/>
    <w:rPr>
      <w:color w:val="60a0b0"/>
      <w:b/>
      <w:i/>
    </w:rPr>
  </w:style>
  <w:style w:type="character" w:customStyle="1" w:styleId="CommentVarTok">
    <w:name w:val="CommentVarTok"/>
    <w:basedOn w:val="VerbatimChar"/>
    <w:rPr>
      <w:color w:val="60a0b0"/>
      <w:b/>
      <w:i/>
    </w:rPr>
  </w:style>
  <w:style w:type="character" w:customStyle="1" w:styleId="OtherTok">
    <w:name w:val="OtherTok"/>
    <w:basedOn w:val="VerbatimChar"/>
    <w:rPr>
      <w:color w:val="007020"/>
    </w:rPr>
  </w:style>
  <w:style w:type="character" w:customStyle="1" w:styleId="FunctionTok">
    <w:name w:val="FunctionTok"/>
    <w:basedOn w:val="VerbatimChar"/>
    <w:rPr>
      <w:color w:val="06287e"/>
    </w:rPr>
  </w:style>
  <w:style w:type="character" w:customStyle="1" w:styleId="VariableTok">
    <w:name w:val="VariableTok"/>
    <w:basedOn w:val="VerbatimChar"/>
    <w:rPr>
      <w:color w:val="19177c"/>
    </w:rPr>
  </w:style>
  <w:style w:type="character" w:customStyle="1" w:styleId="ControlFlowTok">
    <w:name w:val="ControlFlowTok"/>
    <w:basedOn w:val="VerbatimChar"/>
    <w:rPr>
      <w:color w:val="007020"/>
      <w:b/>
    </w:rPr>
  </w:style>
  <w:style w:type="character" w:customStyle="1" w:styleId="OperatorTok">
    <w:name w:val="OperatorTok"/>
    <w:basedOn w:val="VerbatimChar"/>
    <w:rPr>
      <w:color w:val="666666"/>
    </w:rPr>
  </w:style>
  <w:style w:type="character" w:customStyle="1" w:styleId="BuiltInTok">
    <w:name w:val="BuiltInTok"/>
    <w:basedOn w:val="VerbatimChar"/>
    <w:rPr/>
  </w:style>
  <w:style w:type="character" w:customStyle="1" w:styleId="ExtensionTok">
    <w:name w:val="ExtensionTok"/>
    <w:basedOn w:val="VerbatimChar"/>
    <w:rPr/>
  </w:style>
  <w:style w:type="character" w:customStyle="1" w:styleId="PreprocessorTok">
    <w:name w:val="PreprocessorTok"/>
    <w:basedOn w:val="VerbatimChar"/>
    <w:rPr>
      <w:color w:val="bc7a00"/>
    </w:rPr>
  </w:style>
  <w:style w:type="character" w:customStyle="1" w:styleId="AttributeTok">
    <w:name w:val="AttributeTok"/>
    <w:basedOn w:val="VerbatimChar"/>
    <w:rPr>
      <w:color w:val="7d9029"/>
    </w:rPr>
  </w:style>
  <w:style w:type="character" w:customStyle="1" w:styleId="RegionMarkerTok">
    <w:name w:val="RegionMarkerTok"/>
    <w:basedOn w:val="VerbatimChar"/>
    <w:rPr/>
  </w:style>
  <w:style w:type="character" w:customStyle="1" w:styleId="InformationTok">
    <w:name w:val="InformationTok"/>
    <w:basedOn w:val="VerbatimChar"/>
    <w:rPr>
      <w:color w:val="60a0b0"/>
      <w:b/>
      <w:i/>
    </w:rPr>
  </w:style>
  <w:style w:type="character" w:customStyle="1" w:styleId="WarningTok">
    <w:name w:val="WarningTok"/>
    <w:basedOn w:val="VerbatimChar"/>
    <w:rPr>
      <w:color w:val="60a0b0"/>
      <w:b/>
      <w:i/>
    </w:rPr>
  </w:style>
  <w:style w:type="character" w:customStyle="1" w:styleId="AlertTok">
    <w:name w:val="AlertTok"/>
    <w:basedOn w:val="VerbatimChar"/>
    <w:rPr>
      <w:color w:val="ff0000"/>
      <w:b/>
    </w:rPr>
  </w:style>
  <w:style w:type="character" w:customStyle="1" w:styleId="ErrorTok">
    <w:name w:val="ErrorTok"/>
    <w:basedOn w:val="VerbatimChar"/>
    <w:rPr>
      <w:color w:val="ff0000"/>
      <w:b/>
    </w:rPr>
  </w:style>
  <w:style w:type="character" w:customStyle="1" w:styleId="NormalTok">
    <w:name w:val="NormalTok"/>
    <w:basedOn w:val="VerbatimChar"/>
    <w:rPr/>
  </w:style>
</w:styles>
</file>

<file path=word/webSettings.xml><?xml version="1.0" encoding="utf-8"?>
<ns0:webSettings xmlns:ns0="http://schemas.openxmlformats.org/wordprocessingml/2006/main">
  <ns0:allowPNG/>
  <ns0:doNotSaveAsSingleFile/>
</ns0:webSettings>
</file>

<file path=word/_rels/document.xml.rels><?xml version="1.0" encoding="UTF-8"?>
<Relationships xmlns="http://schemas.openxmlformats.org/package/2006/relationships"><Relationship Type="http://schemas.openxmlformats.org/officeDocument/2006/relationships/numbering" Id="rId1" Target="numbering.xml" /><Relationship Type="http://schemas.openxmlformats.org/officeDocument/2006/relationships/styles" Id="rId2" Target="styles.xml" /><Relationship Type="http://schemas.openxmlformats.org/officeDocument/2006/relationships/settings" Id="rId3" Target="settings.xml" /><Relationship Type="http://schemas.openxmlformats.org/officeDocument/2006/relationships/webSettings" Id="rId4" Target="webSettings.xml" /><Relationship Type="http://schemas.openxmlformats.org/officeDocument/2006/relationships/fontTable" Id="rId5" Target="fontTable.xml" /><Relationship Type="http://schemas.openxmlformats.org/officeDocument/2006/relationships/theme" Id="rId6" Target="theme/theme1.xml" /><Relationship Type="http://schemas.openxmlformats.org/officeDocument/2006/relationships/footnotes" Id="rId7" Target="footnotes.xml" /><Relationship Type="http://schemas.openxmlformats.org/officeDocument/2006/relationships/comments" Id="rId8" Target="comments.xml" /><Relationship Type="http://schemas.openxmlformats.org/officeDocument/2006/relationships/image" Id="rId34" Target="media/rId34.png" /><Relationship Type="http://schemas.openxmlformats.org/officeDocument/2006/relationships/image" Id="rId30" Target="media/rId30.png" /></Relationships>
</file>

<file path=word/_rels/footnotes.xml.rels><?xml version="1.0" encoding="UTF-8"?>
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Words>83</Words>
  <SharedDoc>false</SharedDoc>
  <HyperlinksChanged>false</HyperlinksChanged>
  <Lines>12</Lines>
  <AppVersion>12.0000</AppVersion>
  <LinksUpToDate>false</LinksUpToDate>
  <Application>Microsoft Word 12.0.0</Application>
  <CharactersWithSpaces>583</CharactersWithSpaces>
  <Template>Normal.dotm</Template>
  <DocSecurity>0</DocSecurity>
  <TotalTime>6</TotalTime>
  <ScaleCrop>false</ScaleCrop>
  <Characters>475</Characters>
  <Paragraphs>8</Paragraphs>
  <Pages>1</Pag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keywords/>
  <dcterms:created xsi:type="dcterms:W3CDTF">2020-11-26T12:56:26Z</dcterms:created>
  <dcterms:modified xsi:type="dcterms:W3CDTF">2020-11-26T12:56:26Z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